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3D7E01A6" w:rsidR="00ED2F5E" w:rsidRDefault="00787280" w:rsidP="008E2F6D">
      <w:pPr>
        <w:spacing w:line="276" w:lineRule="auto"/>
        <w:jc w:val="center"/>
        <w:rPr>
          <w:rFonts w:ascii="Times New Roman" w:eastAsia="新細明體" w:hAnsi="Times New Roman" w:cs="Times New Roman"/>
          <w:b/>
          <w:sz w:val="28"/>
          <w:u w:val="single"/>
        </w:rPr>
      </w:pPr>
      <w:r w:rsidRPr="00787280">
        <w:rPr>
          <w:rFonts w:ascii="Times New Roman" w:eastAsia="SimSun" w:hAnsi="Times New Roman" w:cs="Times New Roman" w:hint="eastAsia"/>
          <w:b/>
          <w:sz w:val="28"/>
          <w:lang w:eastAsia="zh-CN"/>
        </w:rPr>
        <w:t>「诚信保险知多啲」</w:t>
      </w:r>
      <w:r w:rsidRPr="00787280">
        <w:rPr>
          <w:rFonts w:ascii="Times New Roman" w:eastAsia="SimSun" w:hAnsi="Times New Roman" w:cs="Times New Roman"/>
          <w:b/>
          <w:sz w:val="28"/>
          <w:lang w:eastAsia="zh-CN"/>
        </w:rPr>
        <w:t>—</w:t>
      </w:r>
      <w:r w:rsidRPr="00787280">
        <w:rPr>
          <w:rFonts w:ascii="Times New Roman" w:eastAsia="SimSun" w:hAnsi="Times New Roman" w:cs="Times New Roman" w:hint="eastAsia"/>
          <w:b/>
          <w:sz w:val="28"/>
          <w:lang w:eastAsia="zh-CN"/>
        </w:rPr>
        <w:t>想入行？新入行？保险诚信</w:t>
      </w:r>
      <w:r w:rsidRPr="00787280">
        <w:rPr>
          <w:rFonts w:ascii="Times New Roman" w:eastAsia="SimSun" w:hAnsi="Times New Roman" w:cs="Times New Roman"/>
          <w:b/>
          <w:sz w:val="28"/>
          <w:lang w:eastAsia="zh-CN"/>
        </w:rPr>
        <w:t>101</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0676203F" w14:textId="137810CD" w:rsidR="00B8535C" w:rsidRPr="00B8535C" w:rsidRDefault="00787280" w:rsidP="00B8535C">
      <w:pPr>
        <w:spacing w:line="276" w:lineRule="auto"/>
        <w:ind w:firstLine="425"/>
        <w:jc w:val="both"/>
        <w:rPr>
          <w:rFonts w:ascii="Times New Roman" w:eastAsia="新細明體" w:hAnsi="Times New Roman" w:cs="Times New Roman" w:hint="eastAsia"/>
        </w:rPr>
      </w:pPr>
      <w:r w:rsidRPr="00787280">
        <w:rPr>
          <w:rFonts w:ascii="Times New Roman" w:eastAsia="SimSun" w:hAnsi="Times New Roman" w:cs="Times New Roman" w:hint="eastAsia"/>
          <w:lang w:eastAsia="zh-CN"/>
        </w:rPr>
        <w:t>要成为持牌保险中介人，除了要有良好的表达及交际能力外，还需具备甚么条件？而保险新入职人士在「考牌」及「搵工」两大必经阶段中，又有甚么需要留意？</w:t>
      </w:r>
    </w:p>
    <w:p w14:paraId="7CBFCB41" w14:textId="77777777" w:rsidR="00B8535C" w:rsidRPr="00B8535C" w:rsidRDefault="00B8535C" w:rsidP="00B8535C">
      <w:pPr>
        <w:spacing w:line="276" w:lineRule="auto"/>
        <w:ind w:firstLine="425"/>
        <w:jc w:val="both"/>
        <w:rPr>
          <w:rFonts w:ascii="Times New Roman" w:eastAsia="新細明體" w:hAnsi="Times New Roman" w:cs="Times New Roman"/>
        </w:rPr>
      </w:pPr>
    </w:p>
    <w:p w14:paraId="64E5698F" w14:textId="18474744" w:rsidR="00B8535C" w:rsidRPr="00B8535C" w:rsidRDefault="00787280" w:rsidP="00B8535C">
      <w:pPr>
        <w:spacing w:line="276" w:lineRule="auto"/>
        <w:ind w:firstLine="425"/>
        <w:jc w:val="both"/>
        <w:rPr>
          <w:rFonts w:ascii="Times New Roman" w:eastAsia="新細明體" w:hAnsi="Times New Roman" w:cs="Times New Roman" w:hint="eastAsia"/>
        </w:rPr>
      </w:pPr>
      <w:r w:rsidRPr="00787280">
        <w:rPr>
          <w:rFonts w:ascii="Times New Roman" w:eastAsia="SimSun" w:hAnsi="Times New Roman" w:cs="Times New Roman" w:hint="eastAsia"/>
          <w:lang w:eastAsia="zh-CN"/>
        </w:rPr>
        <w:t>根据保险业监管局的发牌准则，持牌保险中介人必须是一个「适当人选」，而学历是断定某人是否「适当人选」的其中一项重要考虑。因此，在聘用过程中，保险公司会查核申请者的相关学历证明文件，以确保他们能符合监管机构的最低学历要求。过往业内曾经有求职者因未能符合有关学历要求而伪造毕业证书，并先后骗取多间保险公司的职位，最后东窗事发，被判欺诈罪成。所以，求职者在申请职位时应确保填写的数据和递交的文件真确无误及齐全，切勿因求职心切而利用欺诈手段获取职位。</w:t>
      </w:r>
    </w:p>
    <w:p w14:paraId="500F70FC" w14:textId="77777777" w:rsidR="00B8535C" w:rsidRPr="00B8535C" w:rsidRDefault="00B8535C" w:rsidP="00B8535C">
      <w:pPr>
        <w:spacing w:line="276" w:lineRule="auto"/>
        <w:ind w:firstLine="425"/>
        <w:jc w:val="both"/>
        <w:rPr>
          <w:rFonts w:ascii="Times New Roman" w:eastAsia="新細明體" w:hAnsi="Times New Roman" w:cs="Times New Roman"/>
        </w:rPr>
      </w:pPr>
    </w:p>
    <w:p w14:paraId="6B9A8E39" w14:textId="79976461" w:rsidR="00BA77D4" w:rsidRDefault="00787280" w:rsidP="00B8535C">
      <w:pPr>
        <w:spacing w:line="276" w:lineRule="auto"/>
        <w:ind w:firstLine="425"/>
        <w:jc w:val="both"/>
        <w:rPr>
          <w:rFonts w:ascii="Times New Roman" w:eastAsia="新細明體" w:hAnsi="Times New Roman" w:cs="Times New Roman"/>
          <w:lang w:eastAsia="zh-CN"/>
        </w:rPr>
      </w:pPr>
      <w:r w:rsidRPr="00787280">
        <w:rPr>
          <w:rFonts w:ascii="Times New Roman" w:eastAsia="SimSun" w:hAnsi="Times New Roman" w:cs="Times New Roman" w:hint="eastAsia"/>
          <w:lang w:eastAsia="zh-CN"/>
        </w:rPr>
        <w:t>除了学历要求，中介人的诚信亦是判别适当人选的重要准则。任何人士若要正式成为持牌保险中介人，必须通过「保险中介人资格考试」，而当中必修试卷的考试范围除包含各种保险业基本知识外，亦包括《防止贿赂条例》等与职业操守及诚信相关的法规。由此可见，专业知识及诚信对于保险中介人同样重要。为加深保险新入职人士对防贪法规的认识及协助他们了解工作中可能遇到的诚信疑难，廉政公署辖下的香港商业道德发展中心度身订造了</w:t>
      </w:r>
      <w:hyperlink r:id="rId7" w:history="1">
        <w:r w:rsidRPr="001739D4">
          <w:rPr>
            <w:rStyle w:val="a4"/>
            <w:rFonts w:ascii="Times New Roman" w:eastAsia="SimSun" w:hAnsi="Times New Roman" w:cs="Times New Roman" w:hint="eastAsia"/>
            <w:lang w:eastAsia="zh-CN"/>
          </w:rPr>
          <w:t>「新入职保险业中介人网上自学课程」</w:t>
        </w:r>
      </w:hyperlink>
      <w:bookmarkStart w:id="0" w:name="_GoBack"/>
      <w:bookmarkEnd w:id="0"/>
      <w:r w:rsidRPr="00787280">
        <w:rPr>
          <w:rFonts w:ascii="Times New Roman" w:eastAsia="SimSun" w:hAnsi="Times New Roman" w:cs="Times New Roman" w:hint="eastAsia"/>
          <w:lang w:eastAsia="zh-CN"/>
        </w:rPr>
        <w:t>，有兴趣的人士可浏览</w:t>
      </w:r>
      <w:hyperlink r:id="rId8" w:history="1">
        <w:r w:rsidR="003D5027" w:rsidRPr="00377C5F">
          <w:rPr>
            <w:rStyle w:val="a4"/>
            <w:rFonts w:ascii="Times New Roman" w:eastAsia="SimSun" w:hAnsi="Times New Roman" w:cs="Times New Roman"/>
            <w:lang w:eastAsia="zh-CN"/>
          </w:rPr>
          <w:t>https://hkbedc.icac.hk/insurance/elearning</w:t>
        </w:r>
      </w:hyperlink>
      <w:r w:rsidRPr="00787280">
        <w:rPr>
          <w:rFonts w:ascii="Times New Roman" w:eastAsia="SimSun" w:hAnsi="Times New Roman" w:cs="Times New Roman" w:hint="eastAsia"/>
          <w:lang w:eastAsia="zh-CN"/>
        </w:rPr>
        <w:t>，为加入保险行业作好准备。</w:t>
      </w:r>
    </w:p>
    <w:p w14:paraId="515F435A" w14:textId="77777777" w:rsidR="00B8535C" w:rsidRDefault="00B8535C" w:rsidP="00B8535C">
      <w:pPr>
        <w:spacing w:line="276" w:lineRule="auto"/>
        <w:ind w:firstLine="425"/>
        <w:jc w:val="both"/>
        <w:rPr>
          <w:rFonts w:ascii="Times New Roman" w:eastAsia="新細明體" w:hAnsi="Times New Roman" w:cs="Times New Roman" w:hint="eastAsia"/>
          <w:szCs w:val="24"/>
          <w:lang w:eastAsia="zh-CN"/>
        </w:rPr>
      </w:pPr>
    </w:p>
    <w:p w14:paraId="2A7281A4" w14:textId="67A540BC" w:rsidR="00BA77D4" w:rsidRPr="00BA77D4" w:rsidRDefault="00787280" w:rsidP="008E2F6D">
      <w:pPr>
        <w:spacing w:line="276" w:lineRule="auto"/>
        <w:ind w:firstLine="425"/>
        <w:jc w:val="both"/>
        <w:rPr>
          <w:rFonts w:ascii="Times New Roman" w:eastAsia="新細明體" w:hAnsi="Times New Roman" w:cs="Times New Roman"/>
        </w:rPr>
      </w:pPr>
      <w:r w:rsidRPr="00787280">
        <w:rPr>
          <w:rFonts w:ascii="Times New Roman" w:eastAsia="SimSun" w:hAnsi="Times New Roman" w:cs="Times New Roman" w:hint="eastAsia"/>
          <w:lang w:eastAsia="zh-CN"/>
        </w:rPr>
        <w:t>如欲了解更多保险业防贪信息，请即浏览</w:t>
      </w:r>
      <w:hyperlink r:id="rId9" w:history="1">
        <w:r w:rsidRPr="00787280">
          <w:rPr>
            <w:rStyle w:val="a4"/>
            <w:rFonts w:ascii="Times New Roman" w:eastAsia="SimSun" w:hAnsi="Times New Roman" w:cs="Times New Roman" w:hint="eastAsia"/>
            <w:lang w:eastAsia="zh-CN"/>
          </w:rPr>
          <w:t>「诚信创未来」保险业道德专题网站</w:t>
        </w:r>
      </w:hyperlink>
      <w:r w:rsidRPr="00787280">
        <w:rPr>
          <w:rFonts w:ascii="Times New Roman" w:eastAsia="SimSun" w:hAnsi="Times New Roman" w:cs="Times New Roman"/>
          <w:lang w:eastAsia="zh-CN"/>
        </w:rPr>
        <w:t>(</w:t>
      </w:r>
      <w:hyperlink r:id="rId10" w:history="1">
        <w:r w:rsidRPr="00787280">
          <w:rPr>
            <w:rStyle w:val="a4"/>
            <w:rFonts w:ascii="Times New Roman" w:eastAsia="SimSun" w:hAnsi="Times New Roman" w:cs="Times New Roman"/>
            <w:lang w:eastAsia="zh-CN"/>
          </w:rPr>
          <w:t>https://hkbedc.icac.hk/insurance</w:t>
        </w:r>
      </w:hyperlink>
      <w:r w:rsidRPr="00787280">
        <w:rPr>
          <w:rFonts w:ascii="Times New Roman" w:eastAsia="SimSun" w:hAnsi="Times New Roman" w:cs="Times New Roman"/>
          <w:lang w:eastAsia="zh-CN"/>
        </w:rPr>
        <w:t>)</w:t>
      </w:r>
      <w:r w:rsidRPr="00787280">
        <w:rPr>
          <w:rFonts w:ascii="Times New Roman" w:eastAsia="SimSun" w:hAnsi="Times New Roman" w:cs="Times New Roman" w:hint="eastAsia"/>
          <w:lang w:eastAsia="zh-CN"/>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4138804B" w:rsidR="00BA77D4" w:rsidRPr="00BA77D4" w:rsidRDefault="00787280" w:rsidP="0069410A">
      <w:pPr>
        <w:spacing w:line="276" w:lineRule="auto"/>
        <w:jc w:val="right"/>
        <w:rPr>
          <w:rFonts w:ascii="Times New Roman" w:eastAsia="新細明體" w:hAnsi="Times New Roman" w:cs="Times New Roman"/>
          <w:lang w:eastAsia="zh-HK"/>
        </w:rPr>
      </w:pPr>
      <w:r w:rsidRPr="00787280">
        <w:rPr>
          <w:rFonts w:ascii="Times New Roman" w:eastAsia="SimSun" w:hAnsi="Times New Roman" w:cs="Times New Roman"/>
          <w:lang w:eastAsia="zh-CN"/>
        </w:rPr>
        <w:t>(</w:t>
      </w:r>
      <w:r w:rsidRPr="00787280">
        <w:rPr>
          <w:rFonts w:ascii="Times New Roman" w:eastAsia="SimSun" w:hAnsi="Times New Roman" w:cs="Times New Roman" w:hint="eastAsia"/>
          <w:lang w:eastAsia="zh-CN"/>
        </w:rPr>
        <w:t>资料由廉政公署</w:t>
      </w:r>
      <w:hyperlink r:id="rId11" w:history="1">
        <w:r w:rsidRPr="00787280">
          <w:rPr>
            <w:rStyle w:val="a4"/>
            <w:rFonts w:ascii="Times New Roman" w:eastAsia="SimSun" w:hAnsi="Times New Roman" w:cs="Times New Roman" w:hint="eastAsia"/>
            <w:lang w:eastAsia="zh-CN"/>
          </w:rPr>
          <w:t>香港商业道德发展中心</w:t>
        </w:r>
      </w:hyperlink>
      <w:r w:rsidRPr="00787280">
        <w:rPr>
          <w:rFonts w:ascii="Times New Roman" w:eastAsia="SimSun" w:hAnsi="Times New Roman" w:cs="Times New Roman" w:hint="eastAsia"/>
          <w:lang w:eastAsia="zh-CN"/>
        </w:rPr>
        <w:t>提供</w:t>
      </w:r>
      <w:r w:rsidRPr="00787280">
        <w:rPr>
          <w:rFonts w:ascii="Times New Roman" w:eastAsia="SimSun" w:hAnsi="Times New Roman" w:cs="Times New Roman"/>
          <w:lang w:eastAsia="zh-CN"/>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739D4"/>
    <w:rsid w:val="00234DC8"/>
    <w:rsid w:val="003D5027"/>
    <w:rsid w:val="00636E74"/>
    <w:rsid w:val="0069410A"/>
    <w:rsid w:val="00787280"/>
    <w:rsid w:val="00885CF5"/>
    <w:rsid w:val="008E2F6D"/>
    <w:rsid w:val="00B8535C"/>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e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bedc.icac.hk/insurance/elearning/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kbedc.icac.hk/zh-hant" TargetMode="External"/><Relationship Id="rId5" Type="http://schemas.openxmlformats.org/officeDocument/2006/relationships/footnotes" Target="footnotes.xml"/><Relationship Id="rId10" Type="http://schemas.openxmlformats.org/officeDocument/2006/relationships/hyperlink" Target="https://hkbedc.icac.hk/insurance" TargetMode="External"/><Relationship Id="rId4" Type="http://schemas.openxmlformats.org/officeDocument/2006/relationships/webSettings" Target="webSettings.xml"/><Relationship Id="rId9" Type="http://schemas.openxmlformats.org/officeDocument/2006/relationships/hyperlink" Target="https://hkbedc.icac.hk/insurance/t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7525-5C78-421D-A4F3-D6F87A32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ICAC</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5</cp:revision>
  <cp:lastPrinted>2020-12-02T03:18:00Z</cp:lastPrinted>
  <dcterms:created xsi:type="dcterms:W3CDTF">2020-12-04T08:41:00Z</dcterms:created>
  <dcterms:modified xsi:type="dcterms:W3CDTF">2020-12-04T08:42:00Z</dcterms:modified>
</cp:coreProperties>
</file>