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EC" w:rsidRPr="00FD2688" w:rsidRDefault="0080152B" w:rsidP="00FD2688">
      <w:pPr>
        <w:pStyle w:val="a3"/>
        <w:jc w:val="left"/>
      </w:pPr>
      <w:bookmarkStart w:id="0" w:name="_GoBack"/>
      <w:bookmarkEnd w:id="0"/>
      <w:r>
        <w:rPr>
          <w:rFonts w:hint="eastAsia"/>
          <w:noProof/>
          <w:lang w:val="en-US"/>
        </w:rPr>
        <w:drawing>
          <wp:anchor distT="0" distB="0" distL="114300" distR="114300" simplePos="0" relativeHeight="251658752" behindDoc="1" locked="0" layoutInCell="1" allowOverlap="1">
            <wp:simplePos x="0" y="0"/>
            <wp:positionH relativeFrom="column">
              <wp:posOffset>5217160</wp:posOffset>
            </wp:positionH>
            <wp:positionV relativeFrom="page">
              <wp:posOffset>601980</wp:posOffset>
            </wp:positionV>
            <wp:extent cx="757555" cy="956945"/>
            <wp:effectExtent l="0" t="0" r="4445" b="0"/>
            <wp:wrapSquare wrapText="bothSides"/>
            <wp:docPr id="23" name="圖片 23" descr="ICAC-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AC-logo-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55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688">
        <w:rPr>
          <w:rFonts w:hint="eastAsia"/>
        </w:rPr>
        <w:t xml:space="preserve">   </w:t>
      </w:r>
      <w:r>
        <w:rPr>
          <w:b w:val="0"/>
          <w:noProof/>
          <w:szCs w:val="28"/>
          <w:lang w:val="en-US"/>
        </w:rPr>
        <w:drawing>
          <wp:inline distT="0" distB="0" distL="0" distR="0">
            <wp:extent cx="2390775" cy="1057275"/>
            <wp:effectExtent l="0" t="0" r="9525" b="9525"/>
            <wp:docPr id="1" name="圖片 1" descr="be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c_logo"/>
                    <pic:cNvPicPr>
                      <a:picLocks noChangeAspect="1" noChangeArrowheads="1"/>
                    </pic:cNvPicPr>
                  </pic:nvPicPr>
                  <pic:blipFill>
                    <a:blip r:embed="rId7" cstate="print">
                      <a:extLst>
                        <a:ext uri="{28A0092B-C50C-407E-A947-70E740481C1C}">
                          <a14:useLocalDpi xmlns:a14="http://schemas.microsoft.com/office/drawing/2010/main" val="0"/>
                        </a:ext>
                      </a:extLst>
                    </a:blip>
                    <a:srcRect l="12170" r="10687"/>
                    <a:stretch>
                      <a:fillRect/>
                    </a:stretch>
                  </pic:blipFill>
                  <pic:spPr bwMode="auto">
                    <a:xfrm>
                      <a:off x="0" y="0"/>
                      <a:ext cx="2390775" cy="1057275"/>
                    </a:xfrm>
                    <a:prstGeom prst="rect">
                      <a:avLst/>
                    </a:prstGeom>
                    <a:noFill/>
                    <a:ln>
                      <a:noFill/>
                    </a:ln>
                  </pic:spPr>
                </pic:pic>
              </a:graphicData>
            </a:graphic>
          </wp:inline>
        </w:drawing>
      </w:r>
      <w:r w:rsidR="00FD2688">
        <w:rPr>
          <w:b w:val="0"/>
          <w:szCs w:val="28"/>
        </w:rPr>
        <w:t xml:space="preserve">              </w:t>
      </w:r>
    </w:p>
    <w:p w:rsidR="00637CF6" w:rsidRPr="00DB7F47" w:rsidRDefault="00DB7F47" w:rsidP="00B040C7">
      <w:pPr>
        <w:pStyle w:val="a3"/>
      </w:pPr>
      <w:r w:rsidRPr="00DB7F47">
        <w:rPr>
          <w:rFonts w:hint="eastAsia"/>
        </w:rPr>
        <w:t>跨境營商防貪有法系列</w:t>
      </w:r>
      <w:r w:rsidRPr="00DB7F47">
        <w:rPr>
          <w:rFonts w:hint="eastAsia"/>
        </w:rPr>
        <w:t>(</w:t>
      </w:r>
      <w:r w:rsidR="00BE2295">
        <w:rPr>
          <w:rFonts w:hint="eastAsia"/>
        </w:rPr>
        <w:t>3</w:t>
      </w:r>
      <w:r w:rsidRPr="00DB7F47">
        <w:rPr>
          <w:rFonts w:hint="eastAsia"/>
        </w:rPr>
        <w:t>)</w:t>
      </w:r>
    </w:p>
    <w:p w:rsidR="00637CF6" w:rsidRPr="00EE1078" w:rsidRDefault="00EE1078" w:rsidP="00B040C7">
      <w:pPr>
        <w:pStyle w:val="a3"/>
        <w:rPr>
          <w:u w:val="single"/>
        </w:rPr>
      </w:pPr>
      <w:r w:rsidRPr="00EE1078">
        <w:rPr>
          <w:rFonts w:hint="eastAsia"/>
          <w:u w:val="single"/>
        </w:rPr>
        <w:t>跨境遙控業務</w:t>
      </w:r>
      <w:r w:rsidRPr="00EE1078">
        <w:rPr>
          <w:rFonts w:hint="eastAsia"/>
          <w:u w:val="single"/>
        </w:rPr>
        <w:t xml:space="preserve"> </w:t>
      </w:r>
      <w:r w:rsidRPr="00EE1078">
        <w:rPr>
          <w:rFonts w:hint="eastAsia"/>
          <w:u w:val="single"/>
        </w:rPr>
        <w:t>防貪措施要做好</w:t>
      </w:r>
    </w:p>
    <w:p w:rsidR="00EE1078" w:rsidRDefault="00EE1078"/>
    <w:p w:rsidR="00637CF6" w:rsidRPr="00B040C7" w:rsidRDefault="0080152B" w:rsidP="006B07E7">
      <w:pPr>
        <w:pStyle w:val="a4"/>
        <w:spacing w:after="180"/>
      </w:pPr>
      <w:r w:rsidRPr="00B040C7">
        <w:rPr>
          <w:rFonts w:hint="eastAsia"/>
          <w:noProof/>
          <w:lang w:val="en-US"/>
        </w:rPr>
        <w:drawing>
          <wp:anchor distT="0" distB="0" distL="114300" distR="114300" simplePos="0" relativeHeight="251656704" behindDoc="1" locked="0" layoutInCell="1" allowOverlap="0">
            <wp:simplePos x="0" y="0"/>
            <wp:positionH relativeFrom="column">
              <wp:posOffset>4770755</wp:posOffset>
            </wp:positionH>
            <wp:positionV relativeFrom="page">
              <wp:posOffset>3234690</wp:posOffset>
            </wp:positionV>
            <wp:extent cx="1403350" cy="1877695"/>
            <wp:effectExtent l="19050" t="19050" r="25400" b="27305"/>
            <wp:wrapSquare wrapText="bothSides"/>
            <wp:docPr id="6" name="圖片 6" descr="J5211 SME 2012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5211 SME 2012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877695"/>
                    </a:xfrm>
                    <a:prstGeom prst="rect">
                      <a:avLst/>
                    </a:prstGeom>
                    <a:noFill/>
                    <a:ln w="3175">
                      <a:solidFill>
                        <a:srgbClr val="969696"/>
                      </a:solidFill>
                      <a:miter lim="800000"/>
                      <a:headEnd/>
                      <a:tailEnd/>
                    </a:ln>
                  </pic:spPr>
                </pic:pic>
              </a:graphicData>
            </a:graphic>
            <wp14:sizeRelH relativeFrom="page">
              <wp14:pctWidth>0</wp14:pctWidth>
            </wp14:sizeRelH>
            <wp14:sizeRelV relativeFrom="page">
              <wp14:pctHeight>0</wp14:pctHeight>
            </wp14:sizeRelV>
          </wp:anchor>
        </w:drawing>
      </w:r>
      <w:r w:rsidR="00637CF6" w:rsidRPr="00B040C7">
        <w:rPr>
          <w:rFonts w:hint="eastAsia"/>
        </w:rPr>
        <w:t>鑑於粵港澳三地經貿發展日漸頻繁，貪污舞弊風險亦可能隨之衍生，香港廉政公署最近聯同廣東省人民檢察院及澳門廉政公署合編《「誠信守法可創富」粵港澳中小企業防貪指引》，本欄會引用該指引中的個案介紹跨境營商者要注意的貪污風險和應對措施，以加強其預防貪污的能力。</w:t>
      </w:r>
    </w:p>
    <w:p w:rsidR="00637CF6" w:rsidRDefault="00637CF6" w:rsidP="00637CF6"/>
    <w:p w:rsidR="00637CF6" w:rsidRDefault="0080152B" w:rsidP="006B07E7">
      <w:pPr>
        <w:pStyle w:val="a4"/>
        <w:spacing w:after="180"/>
      </w:pPr>
      <w:r>
        <w:rPr>
          <w:rFonts w:hint="eastAsia"/>
          <w:b/>
          <w:noProof/>
          <w:lang w:val="en-US"/>
        </w:rPr>
        <w:drawing>
          <wp:anchor distT="0" distB="0" distL="114300" distR="114300" simplePos="0" relativeHeight="251657728" behindDoc="1" locked="0" layoutInCell="1" allowOverlap="1">
            <wp:simplePos x="0" y="0"/>
            <wp:positionH relativeFrom="column">
              <wp:posOffset>3394710</wp:posOffset>
            </wp:positionH>
            <wp:positionV relativeFrom="paragraph">
              <wp:posOffset>1750060</wp:posOffset>
            </wp:positionV>
            <wp:extent cx="2628900" cy="1681480"/>
            <wp:effectExtent l="0" t="0" r="0" b="0"/>
            <wp:wrapTight wrapText="bothSides">
              <wp:wrapPolygon edited="0">
                <wp:start x="0" y="0"/>
                <wp:lineTo x="0" y="21290"/>
                <wp:lineTo x="21443" y="21290"/>
                <wp:lineTo x="21443" y="0"/>
                <wp:lineTo x="0" y="0"/>
              </wp:wrapPolygon>
            </wp:wrapTight>
            <wp:docPr id="14" name="圖片 14" descr="p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681480"/>
                    </a:xfrm>
                    <a:prstGeom prst="rect">
                      <a:avLst/>
                    </a:prstGeom>
                    <a:gradFill rotWithShape="1">
                      <a:gsLst>
                        <a:gs pos="0">
                          <a:srgbClr val="FFFFFF">
                            <a:alpha val="0"/>
                          </a:srgbClr>
                        </a:gs>
                        <a:gs pos="100000">
                          <a:srgbClr val="FFFFFF">
                            <a:gamma/>
                            <a:tint val="71373"/>
                            <a:invGamma/>
                            <a:alpha val="0"/>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637CF6" w:rsidRPr="00B040C7">
        <w:rPr>
          <w:rFonts w:hint="eastAsia"/>
          <w:b/>
        </w:rPr>
        <w:t>個案：</w:t>
      </w:r>
      <w:r w:rsidR="00EE1078" w:rsidRPr="00EE1078">
        <w:rPr>
          <w:rFonts w:hint="eastAsia"/>
        </w:rPr>
        <w:t>一家香港家電企業，在內地亦設有分公司處理業務。公司東主陳老闆為拓展東南亞市場，經常出外參展或留港與客戶聯繫，而內地的日常管理，則主要依賴駐內地的管理人員。去年底，一間馬來西亞經銷商要求陳老闆的公司生產一系列新型號的電器，並代為採購微波爐餐具套裝作為附送的贈品。陳老闆遂將此工作交由駐內地的採購部主管施經理負責。這批產品推出市場後，馬來西亞經銷商即向陳老闆投訴指禮品套裝內的餐具不能在微波爐使用，並要求退款及索取賠償。經內部調查後，陳老闆發現施經理將這次禮品套裝供應合同暗地裡給予他大舅的東莞工廠，並因此獲得雙人免費歐洲之旅套票。</w:t>
      </w:r>
    </w:p>
    <w:p w:rsidR="00FD2688" w:rsidRDefault="00FD2688" w:rsidP="006B07E7">
      <w:pPr>
        <w:pStyle w:val="a4"/>
        <w:spacing w:after="180"/>
      </w:pPr>
    </w:p>
    <w:p w:rsidR="00FD2688" w:rsidRDefault="00FD2688" w:rsidP="006B07E7">
      <w:pPr>
        <w:pStyle w:val="a4"/>
        <w:spacing w:after="180"/>
      </w:pPr>
    </w:p>
    <w:p w:rsidR="00FD2688" w:rsidRPr="00EE1078" w:rsidRDefault="00FD2688" w:rsidP="006B07E7">
      <w:pPr>
        <w:pStyle w:val="a4"/>
        <w:spacing w:after="180"/>
      </w:pPr>
    </w:p>
    <w:p w:rsidR="00637CF6" w:rsidRPr="00EE1078" w:rsidRDefault="00EE1078" w:rsidP="006B07E7">
      <w:pPr>
        <w:pStyle w:val="a4"/>
        <w:shd w:val="clear" w:color="auto" w:fill="EDF7F9"/>
        <w:spacing w:after="180"/>
        <w:rPr>
          <w:b/>
          <w:bCs/>
        </w:rPr>
      </w:pPr>
      <w:r w:rsidRPr="00EE1078">
        <w:rPr>
          <w:rFonts w:hint="eastAsia"/>
          <w:b/>
          <w:bCs/>
        </w:rPr>
        <w:lastRenderedPageBreak/>
        <w:t>疑問：是利益衝突還是違法？</w:t>
      </w:r>
    </w:p>
    <w:p w:rsidR="00637CF6" w:rsidRPr="00EE1078" w:rsidRDefault="00EE1078" w:rsidP="006B07E7">
      <w:pPr>
        <w:pStyle w:val="a4"/>
        <w:shd w:val="clear" w:color="auto" w:fill="EDF7F9"/>
        <w:spacing w:after="180"/>
      </w:pPr>
      <w:r w:rsidRPr="00EE1078">
        <w:rPr>
          <w:rFonts w:hint="eastAsia"/>
        </w:rPr>
        <w:t>個案中涉及利益衝突和賄賂行為。利益衝突泛指僱員的「私人利益」與該員工本身職務的利益出現矛盾或衝突。處理利益衝突的基本原則是避免，若情況無可避免亦須向公司申報以避嫌，並跟從公司決定。施經理將餐具套裝的訂單暗地裡判給自已大舅的工廠，明顯涉及利益衝突。施經理從中獲得歐洲之旅套票，更是牽涉利益收授的情況，已經觸犯了內地《刑法》。因為根據內地《刑法》，公司、企業或單位工作人員利用職務便利收受或索取賄賂，可構成非國家工作人員受賄罪。為防患未然，公司應該給予所有員工充足的指引，清楚說明要如何處理利益衝突。</w:t>
      </w:r>
    </w:p>
    <w:p w:rsidR="00637CF6" w:rsidRPr="00637CF6" w:rsidRDefault="00637CF6" w:rsidP="00637CF6"/>
    <w:p w:rsidR="00637CF6" w:rsidRPr="00EE1078" w:rsidRDefault="00DB7F47" w:rsidP="006B07E7">
      <w:pPr>
        <w:pStyle w:val="a4"/>
        <w:shd w:val="clear" w:color="auto" w:fill="FFFFE1"/>
        <w:spacing w:after="180"/>
        <w:rPr>
          <w:b/>
          <w:bCs/>
        </w:rPr>
      </w:pPr>
      <w:r w:rsidRPr="00DB7F47">
        <w:rPr>
          <w:rFonts w:hint="eastAsia"/>
          <w:b/>
          <w:bCs/>
        </w:rPr>
        <w:t>管理之道：</w:t>
      </w:r>
      <w:r w:rsidR="00EE1078" w:rsidRPr="00EE1078">
        <w:rPr>
          <w:rFonts w:hint="eastAsia"/>
          <w:b/>
          <w:bCs/>
        </w:rPr>
        <w:t>推行系統控制</w:t>
      </w:r>
    </w:p>
    <w:p w:rsidR="00637CF6" w:rsidRPr="00EE1078" w:rsidRDefault="00EE1078" w:rsidP="006B07E7">
      <w:pPr>
        <w:pStyle w:val="a4"/>
        <w:shd w:val="clear" w:color="auto" w:fill="FFFFE1"/>
        <w:spacing w:after="180"/>
      </w:pPr>
      <w:r w:rsidRPr="00EE1078">
        <w:rPr>
          <w:rFonts w:hint="eastAsia"/>
        </w:rPr>
        <w:t>在粵港澳三地投資營商，難免涉及遙距管理的問題。個案中陳老闆不單甚少回內地巡視業務，其公司更欠缺明確的處理利益衝突及收受利益指引和有效的監控制度，結果讓施經理有機可乘。要避免類似情況發生，陳老闆應把監察及制衡措施引入日常運作內，如採購、營銷、行政及會計等範疇，以有效防止及偵測失當和舞弊行為。例如在採購方面，公司應編制一份認可供應商名單，確保貨品或服務都購自公司認可和有信心的供應商。公司亦應制訂明確的政策，禁止員工接受供應商提供的任何利益，以免處事不公，並應安排由不同職員負責洽商、決定採購和驗收貨品等，加强提防不當行為。</w:t>
      </w:r>
    </w:p>
    <w:p w:rsidR="00EF7E75" w:rsidRDefault="00EF7E75" w:rsidP="00EF7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FF"/>
        <w:tblLook w:val="04A0" w:firstRow="1" w:lastRow="0" w:firstColumn="1" w:lastColumn="0" w:noHBand="0" w:noVBand="1"/>
      </w:tblPr>
      <w:tblGrid>
        <w:gridCol w:w="9628"/>
      </w:tblGrid>
      <w:tr w:rsidR="00154FEC" w:rsidTr="00FD2688">
        <w:trPr>
          <w:trHeight w:val="2210"/>
        </w:trPr>
        <w:tc>
          <w:tcPr>
            <w:tcW w:w="9694" w:type="dxa"/>
            <w:shd w:val="clear" w:color="auto" w:fill="66FFFF"/>
          </w:tcPr>
          <w:p w:rsidR="00FD2688" w:rsidRPr="003F1F15" w:rsidRDefault="00FD2688" w:rsidP="00FD2688">
            <w:pPr>
              <w:rPr>
                <w:b/>
                <w:spacing w:val="20"/>
                <w:sz w:val="28"/>
                <w:szCs w:val="28"/>
              </w:rPr>
            </w:pPr>
            <w:r w:rsidRPr="003F1F15">
              <w:rPr>
                <w:rFonts w:hint="eastAsia"/>
                <w:b/>
                <w:spacing w:val="20"/>
                <w:sz w:val="28"/>
                <w:szCs w:val="28"/>
              </w:rPr>
              <w:t>查詢可聯絡</w:t>
            </w:r>
            <w:r w:rsidRPr="003F1F15">
              <w:rPr>
                <w:rFonts w:hint="eastAsia"/>
                <w:b/>
                <w:spacing w:val="20"/>
                <w:sz w:val="28"/>
                <w:szCs w:val="28"/>
              </w:rPr>
              <w:t>:</w:t>
            </w:r>
            <w:r w:rsidRPr="003F1F15">
              <w:rPr>
                <w:rFonts w:hint="eastAsia"/>
                <w:b/>
                <w:spacing w:val="20"/>
                <w:sz w:val="28"/>
                <w:szCs w:val="28"/>
              </w:rPr>
              <w:t>廉政公署香港商業道德發展中心</w:t>
            </w:r>
          </w:p>
          <w:p w:rsidR="00FD2688" w:rsidRPr="003F1F15" w:rsidRDefault="00FD2688" w:rsidP="00FD2688">
            <w:pPr>
              <w:spacing w:line="400" w:lineRule="exact"/>
              <w:rPr>
                <w:rFonts w:ascii="Tahoma" w:hAnsi="Tahoma" w:cs="Tahoma"/>
                <w:b/>
                <w:sz w:val="28"/>
                <w:szCs w:val="28"/>
              </w:rPr>
            </w:pPr>
            <w:r w:rsidRPr="003F1F15">
              <w:rPr>
                <w:rFonts w:ascii="PMingLiU" w:hAnsi="PMingLiU" w:hint="eastAsia"/>
                <w:b/>
                <w:sz w:val="28"/>
                <w:szCs w:val="28"/>
              </w:rPr>
              <w:t>電話：</w:t>
            </w:r>
            <w:r w:rsidRPr="003F1F15">
              <w:rPr>
                <w:rFonts w:ascii="Tahoma" w:hAnsi="Tahoma" w:cs="Tahoma"/>
                <w:b/>
                <w:sz w:val="28"/>
                <w:szCs w:val="28"/>
              </w:rPr>
              <w:t>2587 9812</w:t>
            </w:r>
          </w:p>
          <w:p w:rsidR="00FD2688" w:rsidRPr="003F1F15" w:rsidRDefault="00FD2688" w:rsidP="00FD2688">
            <w:pPr>
              <w:spacing w:line="400" w:lineRule="exact"/>
              <w:rPr>
                <w:rFonts w:ascii="Tahoma" w:hAnsi="Tahoma" w:cs="Tahoma"/>
                <w:b/>
                <w:sz w:val="28"/>
                <w:szCs w:val="28"/>
              </w:rPr>
            </w:pPr>
            <w:r w:rsidRPr="003F1F15">
              <w:rPr>
                <w:rFonts w:ascii="Tahoma" w:hAnsi="Tahoma" w:cs="Tahoma" w:hint="eastAsia"/>
                <w:b/>
                <w:sz w:val="28"/>
                <w:szCs w:val="28"/>
              </w:rPr>
              <w:t>電郵：</w:t>
            </w:r>
            <w:hyperlink r:id="rId10" w:history="1">
              <w:r w:rsidRPr="003F1F15">
                <w:rPr>
                  <w:rFonts w:ascii="Tahoma" w:hAnsi="Tahoma" w:cs="Tahoma"/>
                  <w:b/>
                  <w:sz w:val="28"/>
                  <w:szCs w:val="28"/>
                </w:rPr>
                <w:t>hk</w:t>
              </w:r>
              <w:r w:rsidRPr="003F1F15">
                <w:rPr>
                  <w:rFonts w:ascii="Tahoma" w:hAnsi="Tahoma" w:cs="Tahoma" w:hint="eastAsia"/>
                  <w:b/>
                  <w:sz w:val="28"/>
                  <w:szCs w:val="28"/>
                </w:rPr>
                <w:t>b</w:t>
              </w:r>
              <w:r w:rsidRPr="003F1F15">
                <w:rPr>
                  <w:rFonts w:ascii="Tahoma" w:hAnsi="Tahoma" w:cs="Tahoma"/>
                  <w:b/>
                  <w:sz w:val="28"/>
                  <w:szCs w:val="28"/>
                </w:rPr>
                <w:t>edc@crd.icac.org.hk</w:t>
              </w:r>
            </w:hyperlink>
          </w:p>
          <w:p w:rsidR="00FD2688" w:rsidRPr="00540F4A" w:rsidRDefault="00FD2688" w:rsidP="00FD2688">
            <w:pPr>
              <w:spacing w:line="400" w:lineRule="exact"/>
              <w:rPr>
                <w:rFonts w:ascii="Tahoma" w:hAnsi="Tahoma" w:cs="Tahoma"/>
                <w:b/>
                <w:sz w:val="28"/>
                <w:szCs w:val="28"/>
              </w:rPr>
            </w:pPr>
            <w:r w:rsidRPr="003F1F15">
              <w:rPr>
                <w:rFonts w:ascii="PMingLiU" w:hAnsi="PMingLiU" w:hint="eastAsia"/>
                <w:b/>
                <w:sz w:val="28"/>
                <w:szCs w:val="28"/>
              </w:rPr>
              <w:t>網站：</w:t>
            </w:r>
            <w:r w:rsidRPr="003F1F15">
              <w:rPr>
                <w:rFonts w:ascii="Tahoma" w:hAnsi="Tahoma" w:cs="Tahoma"/>
                <w:b/>
                <w:sz w:val="28"/>
                <w:szCs w:val="28"/>
              </w:rPr>
              <w:t>www.</w:t>
            </w:r>
            <w:r w:rsidRPr="003F1F15">
              <w:rPr>
                <w:rFonts w:ascii="Tahoma" w:hAnsi="Tahoma" w:cs="Tahoma" w:hint="eastAsia"/>
                <w:b/>
                <w:sz w:val="28"/>
                <w:szCs w:val="28"/>
              </w:rPr>
              <w:t>hk</w:t>
            </w:r>
            <w:r w:rsidRPr="003F1F15">
              <w:rPr>
                <w:rFonts w:ascii="Tahoma" w:hAnsi="Tahoma" w:cs="Tahoma"/>
                <w:b/>
                <w:sz w:val="28"/>
                <w:szCs w:val="28"/>
              </w:rPr>
              <w:t>b</w:t>
            </w:r>
            <w:r w:rsidRPr="003F1F15">
              <w:rPr>
                <w:rFonts w:ascii="Tahoma" w:hAnsi="Tahoma" w:cs="Tahoma" w:hint="eastAsia"/>
                <w:b/>
                <w:sz w:val="28"/>
                <w:szCs w:val="28"/>
              </w:rPr>
              <w:t>edc.</w:t>
            </w:r>
            <w:r w:rsidRPr="003F1F15">
              <w:rPr>
                <w:rFonts w:ascii="Tahoma" w:hAnsi="Tahoma" w:cs="Tahoma"/>
                <w:b/>
                <w:sz w:val="28"/>
                <w:szCs w:val="28"/>
              </w:rPr>
              <w:t>icac.hk</w:t>
            </w:r>
          </w:p>
          <w:p w:rsidR="00154FEC" w:rsidRPr="00FD2688" w:rsidRDefault="00154FEC" w:rsidP="00D8142B"/>
        </w:tc>
      </w:tr>
    </w:tbl>
    <w:p w:rsidR="00D8142B" w:rsidRDefault="00D8142B" w:rsidP="00D8142B"/>
    <w:sectPr w:rsidR="00D8142B" w:rsidSect="00FD26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B5" w:rsidRDefault="009735B5" w:rsidP="00B71075">
      <w:r>
        <w:separator/>
      </w:r>
    </w:p>
  </w:endnote>
  <w:endnote w:type="continuationSeparator" w:id="0">
    <w:p w:rsidR="009735B5" w:rsidRDefault="009735B5" w:rsidP="00B7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B5" w:rsidRDefault="009735B5" w:rsidP="00B71075">
      <w:r>
        <w:separator/>
      </w:r>
    </w:p>
  </w:footnote>
  <w:footnote w:type="continuationSeparator" w:id="0">
    <w:p w:rsidR="009735B5" w:rsidRDefault="009735B5" w:rsidP="00B71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Kb2BJA7TdfuO7BgbICBFcsY/n8drB+qSCrprBRX5r5eAljHP2LbFs+tIA2veSZyGcxdicsoMYIjHzbex3/mcA==" w:salt="io/own2BXLsICLDKZkD83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F6"/>
    <w:rsid w:val="000A1128"/>
    <w:rsid w:val="000A7B92"/>
    <w:rsid w:val="00154FEC"/>
    <w:rsid w:val="0022648B"/>
    <w:rsid w:val="00295286"/>
    <w:rsid w:val="00302E08"/>
    <w:rsid w:val="00347663"/>
    <w:rsid w:val="003927F6"/>
    <w:rsid w:val="00521D81"/>
    <w:rsid w:val="00637CF6"/>
    <w:rsid w:val="006B07E7"/>
    <w:rsid w:val="007973ED"/>
    <w:rsid w:val="0080152B"/>
    <w:rsid w:val="00823A2D"/>
    <w:rsid w:val="0089667D"/>
    <w:rsid w:val="008D6FA8"/>
    <w:rsid w:val="009630C4"/>
    <w:rsid w:val="009735B5"/>
    <w:rsid w:val="00996953"/>
    <w:rsid w:val="00A3672F"/>
    <w:rsid w:val="00A65A9A"/>
    <w:rsid w:val="00AC2B0F"/>
    <w:rsid w:val="00B040C7"/>
    <w:rsid w:val="00B71075"/>
    <w:rsid w:val="00BE2295"/>
    <w:rsid w:val="00C602A5"/>
    <w:rsid w:val="00D02E7A"/>
    <w:rsid w:val="00D1592C"/>
    <w:rsid w:val="00D8142B"/>
    <w:rsid w:val="00DB7F47"/>
    <w:rsid w:val="00E6218C"/>
    <w:rsid w:val="00EE1078"/>
    <w:rsid w:val="00EF7E75"/>
    <w:rsid w:val="00FD26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0CC31D-513F-4B28-96F2-46FD268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加寬"/>
    <w:basedOn w:val="a"/>
    <w:rsid w:val="00E6218C"/>
    <w:pPr>
      <w:snapToGrid w:val="0"/>
      <w:spacing w:line="360" w:lineRule="auto"/>
      <w:jc w:val="center"/>
    </w:pPr>
    <w:rPr>
      <w:rFonts w:cs="PMingLiU"/>
      <w:b/>
      <w:bCs/>
      <w:spacing w:val="20"/>
      <w:sz w:val="28"/>
      <w:szCs w:val="20"/>
    </w:rPr>
  </w:style>
  <w:style w:type="paragraph" w:customStyle="1" w:styleId="a4">
    <w:name w:val="內文標準"/>
    <w:basedOn w:val="a"/>
    <w:rsid w:val="006B07E7"/>
    <w:pPr>
      <w:snapToGrid w:val="0"/>
      <w:spacing w:afterLines="50" w:after="50" w:line="360" w:lineRule="auto"/>
      <w:jc w:val="both"/>
    </w:pPr>
    <w:rPr>
      <w:rFonts w:cs="PMingLiU"/>
      <w:spacing w:val="20"/>
      <w:sz w:val="26"/>
      <w:szCs w:val="20"/>
    </w:rPr>
  </w:style>
  <w:style w:type="table" w:styleId="a5">
    <w:name w:val="Table Grid"/>
    <w:basedOn w:val="a1"/>
    <w:rsid w:val="0015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B71075"/>
    <w:pPr>
      <w:tabs>
        <w:tab w:val="center" w:pos="4153"/>
        <w:tab w:val="right" w:pos="8306"/>
      </w:tabs>
      <w:snapToGrid w:val="0"/>
    </w:pPr>
    <w:rPr>
      <w:sz w:val="20"/>
      <w:szCs w:val="20"/>
    </w:rPr>
  </w:style>
  <w:style w:type="character" w:customStyle="1" w:styleId="Char">
    <w:name w:val="页眉 Char"/>
    <w:link w:val="a6"/>
    <w:rsid w:val="00B71075"/>
    <w:rPr>
      <w:kern w:val="2"/>
      <w:lang w:val="en-GB"/>
    </w:rPr>
  </w:style>
  <w:style w:type="paragraph" w:styleId="a7">
    <w:name w:val="footer"/>
    <w:basedOn w:val="a"/>
    <w:link w:val="Char0"/>
    <w:rsid w:val="00B71075"/>
    <w:pPr>
      <w:tabs>
        <w:tab w:val="center" w:pos="4153"/>
        <w:tab w:val="right" w:pos="8306"/>
      </w:tabs>
      <w:snapToGrid w:val="0"/>
    </w:pPr>
    <w:rPr>
      <w:sz w:val="20"/>
      <w:szCs w:val="20"/>
    </w:rPr>
  </w:style>
  <w:style w:type="character" w:customStyle="1" w:styleId="Char0">
    <w:name w:val="页脚 Char"/>
    <w:link w:val="a7"/>
    <w:rsid w:val="00B71075"/>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kedc@crd.icac.org.hk"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8</DocSecurity>
  <Lines>7</Lines>
  <Paragraphs>2</Paragraphs>
  <ScaleCrop>false</ScaleCrop>
  <Company>ICAC</Company>
  <LinksUpToDate>false</LinksUpToDate>
  <CharactersWithSpaces>1117</CharactersWithSpaces>
  <SharedDoc>false</SharedDoc>
  <HLinks>
    <vt:vector size="6" baseType="variant">
      <vt:variant>
        <vt:i4>1703993</vt:i4>
      </vt:variant>
      <vt:variant>
        <vt:i4>0</vt:i4>
      </vt:variant>
      <vt:variant>
        <vt:i4>0</vt:i4>
      </vt:variant>
      <vt:variant>
        <vt:i4>5</vt:i4>
      </vt:variant>
      <vt:variant>
        <vt:lpwstr>mailto:hkedc@crd.icac.org.hk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EA</cp:lastModifiedBy>
  <cp:revision>2</cp:revision>
  <cp:lastPrinted>2012-11-05T08:18:00Z</cp:lastPrinted>
  <dcterms:created xsi:type="dcterms:W3CDTF">2020-01-18T17:52:00Z</dcterms:created>
  <dcterms:modified xsi:type="dcterms:W3CDTF">2020-01-18T17:52:00Z</dcterms:modified>
</cp:coreProperties>
</file>