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99" w:rsidRPr="000E7E14" w:rsidRDefault="00CC5F99" w:rsidP="00CC5F99">
      <w:pPr>
        <w:snapToGrid w:val="0"/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5BF8427E" wp14:editId="5E1BC5A5">
            <wp:simplePos x="0" y="0"/>
            <wp:positionH relativeFrom="column">
              <wp:posOffset>796290</wp:posOffset>
            </wp:positionH>
            <wp:positionV relativeFrom="paragraph">
              <wp:align>bottom</wp:align>
            </wp:positionV>
            <wp:extent cx="476250" cy="571500"/>
            <wp:effectExtent l="0" t="0" r="0" b="0"/>
            <wp:wrapNone/>
            <wp:docPr id="1" name="圖片 2" descr="I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14">
        <w:rPr>
          <w:rFonts w:hint="eastAsia"/>
          <w:b/>
          <w:spacing w:val="20"/>
          <w:sz w:val="28"/>
          <w:szCs w:val="28"/>
        </w:rPr>
        <w:t>「跨境營商</w:t>
      </w:r>
      <w:r w:rsidRPr="000E7E14">
        <w:rPr>
          <w:rFonts w:hint="eastAsia"/>
          <w:b/>
          <w:spacing w:val="20"/>
          <w:sz w:val="28"/>
          <w:szCs w:val="28"/>
        </w:rPr>
        <w:t xml:space="preserve"> </w:t>
      </w:r>
      <w:r w:rsidRPr="000E7E14">
        <w:rPr>
          <w:rFonts w:hint="eastAsia"/>
          <w:b/>
          <w:spacing w:val="20"/>
          <w:sz w:val="28"/>
          <w:szCs w:val="28"/>
        </w:rPr>
        <w:t>守法至上」</w:t>
      </w:r>
    </w:p>
    <w:p w:rsidR="00CC5F99" w:rsidRPr="000E7E14" w:rsidRDefault="00CC5F99" w:rsidP="00CC5F99">
      <w:pPr>
        <w:snapToGrid w:val="0"/>
        <w:spacing w:line="360" w:lineRule="auto"/>
        <w:jc w:val="center"/>
        <w:rPr>
          <w:b/>
          <w:spacing w:val="20"/>
          <w:sz w:val="28"/>
          <w:szCs w:val="28"/>
        </w:rPr>
      </w:pPr>
      <w:r w:rsidRPr="000E7E14">
        <w:rPr>
          <w:rFonts w:hint="eastAsia"/>
          <w:b/>
          <w:spacing w:val="20"/>
          <w:sz w:val="28"/>
          <w:szCs w:val="28"/>
        </w:rPr>
        <w:t>＜合約分判＞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港商在內地經營，很多時會涉及合約判授；如何避免涉及利益衝突，甚至墮入貪污陷阱，是管理人員的主要關注。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b/>
          <w:spacing w:val="20"/>
          <w:sz w:val="28"/>
          <w:szCs w:val="28"/>
          <w:u w:val="single"/>
        </w:rPr>
      </w:pPr>
      <w:r w:rsidRPr="000E7E14">
        <w:rPr>
          <w:rFonts w:hint="eastAsia"/>
          <w:b/>
          <w:spacing w:val="20"/>
          <w:sz w:val="28"/>
          <w:szCs w:val="28"/>
          <w:u w:val="single"/>
        </w:rPr>
        <w:t>個案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B3576">
        <w:rPr>
          <w:rFonts w:hint="eastAsia"/>
          <w:spacing w:val="20"/>
          <w:sz w:val="28"/>
          <w:szCs w:val="28"/>
        </w:rPr>
        <w:t>陳</w:t>
      </w:r>
      <w:r w:rsidRPr="000E7E14">
        <w:rPr>
          <w:rFonts w:hint="eastAsia"/>
          <w:spacing w:val="20"/>
          <w:sz w:val="28"/>
          <w:szCs w:val="28"/>
        </w:rPr>
        <w:t>老闆在內地開設電子廠，並任命世姪</w:t>
      </w:r>
      <w:smartTag w:uri="urn:schemas-microsoft-com:office:smarttags" w:element="PersonName">
        <w:smartTagPr>
          <w:attr w:name="ProductID" w:val="李"/>
        </w:smartTagPr>
        <w:r w:rsidRPr="000B3576">
          <w:rPr>
            <w:rFonts w:hint="eastAsia"/>
            <w:spacing w:val="20"/>
            <w:sz w:val="28"/>
            <w:szCs w:val="28"/>
          </w:rPr>
          <w:t>李</w:t>
        </w:r>
      </w:smartTag>
      <w:r w:rsidRPr="000E7E14">
        <w:rPr>
          <w:rFonts w:hint="eastAsia"/>
          <w:spacing w:val="20"/>
          <w:sz w:val="28"/>
          <w:szCs w:val="28"/>
        </w:rPr>
        <w:t>先生擔任廠長。採購部</w:t>
      </w: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經理與內地零件供應商相熟，經常邀約各人一起「大吃大喝」和賭博，</w:t>
      </w:r>
      <w:r w:rsidRPr="000B3576">
        <w:rPr>
          <w:rFonts w:hint="eastAsia"/>
          <w:spacing w:val="20"/>
          <w:sz w:val="28"/>
          <w:szCs w:val="28"/>
        </w:rPr>
        <w:t>李</w:t>
      </w:r>
      <w:r w:rsidRPr="000E7E14">
        <w:rPr>
          <w:rFonts w:hint="eastAsia"/>
          <w:spacing w:val="20"/>
          <w:sz w:val="28"/>
          <w:szCs w:val="28"/>
        </w:rPr>
        <w:t>廠長認為這是私人酬酢而未有干涉。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廠房突接獲大訂單，但電子零件供應卻異常緊張，</w:t>
      </w: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經理四出聯絡供應商，最後把合約判予他的小舅，並辯稱以招標方式費時失事。</w:t>
      </w:r>
      <w:r w:rsidRPr="000B3576">
        <w:rPr>
          <w:rFonts w:hint="eastAsia"/>
          <w:spacing w:val="20"/>
          <w:sz w:val="28"/>
          <w:szCs w:val="28"/>
        </w:rPr>
        <w:t>李</w:t>
      </w:r>
      <w:r w:rsidRPr="000E7E14">
        <w:rPr>
          <w:rFonts w:hint="eastAsia"/>
          <w:spacing w:val="20"/>
          <w:sz w:val="28"/>
          <w:szCs w:val="28"/>
        </w:rPr>
        <w:t>廠長眼見材料質素不差、價錢合理，又相信</w:t>
      </w: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經理未有從中得益，因此默許有關交易。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豈料客戶發現</w:t>
      </w: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經理小舅提供的零件是「翻版貨」，連累廠房損失嚴重。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b/>
          <w:spacing w:val="20"/>
          <w:sz w:val="28"/>
          <w:szCs w:val="28"/>
          <w:u w:val="single"/>
        </w:rPr>
      </w:pPr>
      <w:r w:rsidRPr="000E7E14">
        <w:rPr>
          <w:rFonts w:hint="eastAsia"/>
          <w:b/>
          <w:spacing w:val="20"/>
          <w:sz w:val="28"/>
          <w:szCs w:val="28"/>
          <w:u w:val="single"/>
        </w:rPr>
        <w:t>分析與建議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經理經常接受供應商的款待及進行賭博，雖然只屬其個人選擇，但過分的打交道，甚或有金錢瓜葛，員工將無可避免欠下恩惠，影響其公正處事。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lastRenderedPageBreak/>
        <w:t>另外，</w:t>
      </w:r>
      <w:r w:rsidRPr="000B3576">
        <w:rPr>
          <w:rFonts w:hint="eastAsia"/>
          <w:spacing w:val="20"/>
          <w:sz w:val="28"/>
          <w:szCs w:val="28"/>
        </w:rPr>
        <w:t>張</w:t>
      </w:r>
      <w:r w:rsidRPr="000E7E14">
        <w:rPr>
          <w:rFonts w:hint="eastAsia"/>
          <w:spacing w:val="20"/>
          <w:sz w:val="28"/>
          <w:szCs w:val="28"/>
        </w:rPr>
        <w:t>經理把電子零件供應合約判予小舅，明顯涉及利益衝突，</w:t>
      </w:r>
      <w:r w:rsidRPr="000B3576">
        <w:rPr>
          <w:rFonts w:hint="eastAsia"/>
          <w:spacing w:val="20"/>
          <w:sz w:val="28"/>
          <w:szCs w:val="28"/>
        </w:rPr>
        <w:t>李</w:t>
      </w:r>
      <w:r w:rsidRPr="000E7E14">
        <w:rPr>
          <w:rFonts w:hint="eastAsia"/>
          <w:spacing w:val="20"/>
          <w:sz w:val="28"/>
          <w:szCs w:val="28"/>
        </w:rPr>
        <w:t>廠長不單惹來偏私之嫌，更對其他供應商不公平。當中倘涉及收受利益，更屬貪污賄賂罪行。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管理人員應制訂處理利益衝的詳細指引，務使員工遠離貪污賄賂的誘惑，亦可考慮要求供應商申報與公司僱員的任何關係，有助覆核內部申報。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管理人員亦可制訂員工品行守則，避免下屬與供應商過分混熟，並對個別員工經常出現的不當行為多加防範和提點。</w:t>
      </w:r>
    </w:p>
    <w:p w:rsidR="00CC5F99" w:rsidRPr="000E7E14" w:rsidRDefault="00CC5F99" w:rsidP="00CC5F99">
      <w:pPr>
        <w:snapToGrid w:val="0"/>
        <w:spacing w:line="360" w:lineRule="auto"/>
        <w:rPr>
          <w:spacing w:val="20"/>
          <w:sz w:val="28"/>
          <w:szCs w:val="28"/>
        </w:rPr>
      </w:pPr>
    </w:p>
    <w:p w:rsidR="00CC5F99" w:rsidRPr="000E7E14" w:rsidRDefault="00CC5F99" w:rsidP="00CC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napToGrid w:val="0"/>
        <w:spacing w:line="360" w:lineRule="auto"/>
        <w:jc w:val="center"/>
        <w:rPr>
          <w:b/>
          <w:spacing w:val="20"/>
          <w:sz w:val="28"/>
          <w:szCs w:val="28"/>
          <w:u w:val="single"/>
        </w:rPr>
      </w:pPr>
      <w:r w:rsidRPr="000E7E14">
        <w:rPr>
          <w:rFonts w:hint="eastAsia"/>
          <w:b/>
          <w:spacing w:val="20"/>
          <w:sz w:val="28"/>
          <w:szCs w:val="28"/>
          <w:u w:val="single"/>
        </w:rPr>
        <w:t>跨境營商常見問題</w:t>
      </w:r>
    </w:p>
    <w:p w:rsidR="00CC5F99" w:rsidRPr="000E7E14" w:rsidRDefault="00CC5F99" w:rsidP="00CC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napToGrid w:val="0"/>
        <w:spacing w:line="360" w:lineRule="auto"/>
        <w:ind w:left="601" w:hangingChars="200" w:hanging="601"/>
        <w:jc w:val="both"/>
        <w:rPr>
          <w:b/>
          <w:spacing w:val="20"/>
          <w:sz w:val="28"/>
          <w:szCs w:val="28"/>
        </w:rPr>
      </w:pPr>
      <w:r w:rsidRPr="000E7E14">
        <w:rPr>
          <w:rFonts w:hint="eastAsia"/>
          <w:b/>
          <w:spacing w:val="20"/>
          <w:sz w:val="28"/>
          <w:szCs w:val="28"/>
        </w:rPr>
        <w:t>問：港商在內地洽談生意時，設「魚翅熊掌宴」款待貿易夥伴是否屬於行賄？</w:t>
      </w:r>
    </w:p>
    <w:p w:rsidR="00CC5F99" w:rsidRPr="000E7E14" w:rsidRDefault="00CC5F99" w:rsidP="00CC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napToGrid w:val="0"/>
        <w:spacing w:line="360" w:lineRule="auto"/>
        <w:ind w:left="600" w:hangingChars="200" w:hanging="600"/>
        <w:jc w:val="both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答：無論在香港或內地，生意往來的酬酢屬正常的社交活動。不過，經商者不應單憑向貿易夥伴或其職員提供過分奢華或頻密的款待，作為做生意的手段，長遠來說，應從產品及服務質素等條件來增加競爭力。</w:t>
      </w:r>
    </w:p>
    <w:p w:rsidR="00CC5F99" w:rsidRPr="000E7E14" w:rsidRDefault="00CC5F99" w:rsidP="00CC5F99">
      <w:pPr>
        <w:snapToGrid w:val="0"/>
        <w:spacing w:line="360" w:lineRule="auto"/>
        <w:jc w:val="both"/>
        <w:rPr>
          <w:spacing w:val="20"/>
          <w:sz w:val="28"/>
          <w:szCs w:val="28"/>
        </w:rPr>
      </w:pPr>
    </w:p>
    <w:p w:rsidR="00CC5F99" w:rsidRPr="000E7E14" w:rsidRDefault="00CC5F99" w:rsidP="00CC5F99">
      <w:pPr>
        <w:snapToGrid w:val="0"/>
        <w:spacing w:line="360" w:lineRule="auto"/>
        <w:jc w:val="both"/>
        <w:rPr>
          <w:spacing w:val="20"/>
          <w:sz w:val="28"/>
          <w:szCs w:val="28"/>
        </w:rPr>
      </w:pPr>
      <w:r w:rsidRPr="000E7E14">
        <w:rPr>
          <w:rFonts w:hint="eastAsia"/>
          <w:spacing w:val="20"/>
          <w:sz w:val="28"/>
          <w:szCs w:val="28"/>
        </w:rPr>
        <w:t>【資料來源：廉署及廣東省人民檢察院合編《「守法誠信」粵港中小企業防貪指引》。查詢可電</w:t>
      </w:r>
      <w:r>
        <w:rPr>
          <w:spacing w:val="20"/>
          <w:sz w:val="28"/>
          <w:szCs w:val="28"/>
        </w:rPr>
        <w:t>2826 3288</w:t>
      </w:r>
      <w:r w:rsidRPr="000E7E14">
        <w:rPr>
          <w:rFonts w:hint="eastAsia"/>
          <w:spacing w:val="20"/>
          <w:sz w:val="28"/>
          <w:szCs w:val="28"/>
        </w:rPr>
        <w:t>香港商業道德發展中心。】</w:t>
      </w:r>
    </w:p>
    <w:p w:rsidR="004D1AF9" w:rsidRDefault="00CC5F99" w:rsidP="00CC5F99">
      <w:pPr>
        <w:snapToGrid w:val="0"/>
        <w:spacing w:line="360" w:lineRule="auto"/>
        <w:jc w:val="center"/>
      </w:pPr>
      <w:r>
        <w:rPr>
          <w:b/>
          <w:noProof/>
          <w:spacing w:val="20"/>
          <w:sz w:val="28"/>
          <w:szCs w:val="28"/>
          <w:lang w:val="en-US"/>
        </w:rPr>
        <w:drawing>
          <wp:inline distT="0" distB="0" distL="0" distR="0" wp14:anchorId="6A7A3E07" wp14:editId="6EAA92BE">
            <wp:extent cx="2914650" cy="1285875"/>
            <wp:effectExtent l="0" t="0" r="0" b="9525"/>
            <wp:docPr id="2" name="圖片 2" descr="bed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r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AF9" w:rsidSect="006E52F1">
      <w:pgSz w:w="11906" w:h="16838"/>
      <w:pgMar w:top="1560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vkI7ZWjIhIMuDGQN9XSejU3QWpEA7WMKOm1Rzo2GBn7GqQd/FcXRS5Bxgc5pa2wlmeLMsJulmfyVULKeO68RQ==" w:salt="cFPRe9a+t0n0dO/IeU2jV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9"/>
    <w:rsid w:val="00284EE7"/>
    <w:rsid w:val="006F6EDD"/>
    <w:rsid w:val="00C86043"/>
    <w:rsid w:val="00C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."/>
  <w:listSeparator w:val=","/>
  <w15:chartTrackingRefBased/>
  <w15:docId w15:val="{438E0341-577C-42C0-B990-78C0853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9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8</DocSecurity>
  <Lines>5</Lines>
  <Paragraphs>1</Paragraphs>
  <ScaleCrop>false</ScaleCrop>
  <Company>ICAC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EA</cp:lastModifiedBy>
  <cp:revision>2</cp:revision>
  <dcterms:created xsi:type="dcterms:W3CDTF">2020-01-18T17:22:00Z</dcterms:created>
  <dcterms:modified xsi:type="dcterms:W3CDTF">2020-01-18T17:22:00Z</dcterms:modified>
</cp:coreProperties>
</file>